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44FE" w14:textId="77777777" w:rsidR="0054545C" w:rsidRPr="00526B5A" w:rsidRDefault="0054545C" w:rsidP="00526B5A">
      <w:pPr>
        <w:ind w:right="-33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 основу Закључка </w:t>
      </w:r>
      <w:r>
        <w:rPr>
          <w:color w:val="000000"/>
          <w:sz w:val="22"/>
          <w:szCs w:val="22"/>
          <w:lang w:val="sr-Cyrl-RS"/>
        </w:rPr>
        <w:t>Трговинског суда</w:t>
      </w:r>
      <w:r>
        <w:rPr>
          <w:sz w:val="22"/>
          <w:szCs w:val="22"/>
          <w:lang w:val="sr-Cyrl-RS"/>
        </w:rPr>
        <w:t xml:space="preserve"> у </w:t>
      </w:r>
      <w:r w:rsidR="00C67144">
        <w:rPr>
          <w:sz w:val="22"/>
          <w:szCs w:val="22"/>
          <w:lang w:val="sr-Cyrl-RS"/>
        </w:rPr>
        <w:t>С</w:t>
      </w:r>
      <w:r w:rsidR="002753F0">
        <w:rPr>
          <w:sz w:val="22"/>
          <w:szCs w:val="22"/>
          <w:lang w:val="sr-Cyrl-RS"/>
        </w:rPr>
        <w:t>о</w:t>
      </w:r>
      <w:r w:rsidR="00C67144">
        <w:rPr>
          <w:sz w:val="22"/>
          <w:szCs w:val="22"/>
          <w:lang w:val="sr-Cyrl-RS"/>
        </w:rPr>
        <w:t>мбору</w:t>
      </w:r>
      <w:r>
        <w:rPr>
          <w:sz w:val="22"/>
          <w:szCs w:val="22"/>
          <w:lang w:val="sr-Cyrl-RS"/>
        </w:rPr>
        <w:t xml:space="preserve">, број предмета Ст. </w:t>
      </w:r>
      <w:r w:rsidR="00C67144"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Cyrl-RS"/>
        </w:rPr>
        <w:t>/</w:t>
      </w:r>
      <w:r w:rsidR="00C67144">
        <w:rPr>
          <w:sz w:val="22"/>
          <w:szCs w:val="22"/>
          <w:lang w:val="sr-Cyrl-RS"/>
        </w:rPr>
        <w:t>20</w:t>
      </w:r>
      <w:r>
        <w:rPr>
          <w:sz w:val="22"/>
          <w:szCs w:val="22"/>
          <w:lang w:val="sr-Cyrl-RS"/>
        </w:rPr>
        <w:t>0</w:t>
      </w:r>
      <w:r w:rsidR="00C67144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 xml:space="preserve"> од 2</w:t>
      </w:r>
      <w:r w:rsidR="00C67144">
        <w:rPr>
          <w:sz w:val="22"/>
          <w:szCs w:val="22"/>
          <w:lang w:val="sr-Cyrl-RS"/>
        </w:rPr>
        <w:t>0</w:t>
      </w:r>
      <w:r>
        <w:rPr>
          <w:sz w:val="22"/>
          <w:szCs w:val="22"/>
          <w:lang w:val="sr-Cyrl-RS"/>
        </w:rPr>
        <w:t>.0</w:t>
      </w:r>
      <w:r w:rsidR="00C67144">
        <w:rPr>
          <w:sz w:val="22"/>
          <w:szCs w:val="22"/>
          <w:lang w:val="sr-Cyrl-RS"/>
        </w:rPr>
        <w:t>8</w:t>
      </w:r>
      <w:r>
        <w:rPr>
          <w:sz w:val="22"/>
          <w:szCs w:val="22"/>
          <w:lang w:val="sr-Cyrl-RS"/>
        </w:rPr>
        <w:t>.200</w:t>
      </w:r>
      <w:r w:rsidR="00C67144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 xml:space="preserve">. године, а у складу са члановима </w:t>
      </w:r>
      <w:r>
        <w:rPr>
          <w:sz w:val="22"/>
          <w:szCs w:val="22"/>
          <w:lang w:val="sr-Cyrl-CS"/>
        </w:rPr>
        <w:t xml:space="preserve">109, </w:t>
      </w:r>
      <w:r>
        <w:rPr>
          <w:sz w:val="22"/>
          <w:szCs w:val="22"/>
          <w:lang w:val="ru-RU"/>
        </w:rPr>
        <w:t xml:space="preserve">110 и </w:t>
      </w:r>
      <w:r>
        <w:rPr>
          <w:sz w:val="22"/>
          <w:szCs w:val="22"/>
          <w:lang w:val="sr-Cyrl-CS"/>
        </w:rPr>
        <w:t>111 Закона о стечајном поступку («</w:t>
      </w:r>
      <w:r>
        <w:rPr>
          <w:i/>
          <w:sz w:val="22"/>
          <w:szCs w:val="22"/>
          <w:lang w:val="sr-Cyrl-CS"/>
        </w:rPr>
        <w:t xml:space="preserve">Службени гласник Републике Србије» </w:t>
      </w:r>
      <w:r>
        <w:rPr>
          <w:sz w:val="22"/>
          <w:szCs w:val="22"/>
          <w:lang w:val="sr-Cyrl-CS"/>
        </w:rPr>
        <w:t>број 84/2004 и 85/05)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sr-Cyrl-RS"/>
        </w:rPr>
        <w:t xml:space="preserve">као и </w:t>
      </w:r>
      <w:proofErr w:type="spellStart"/>
      <w:r>
        <w:rPr>
          <w:sz w:val="22"/>
          <w:szCs w:val="22"/>
          <w:lang w:val="sr-Latn-RS"/>
        </w:rPr>
        <w:t>Законом</w:t>
      </w:r>
      <w:proofErr w:type="spellEnd"/>
      <w:r>
        <w:rPr>
          <w:sz w:val="22"/>
          <w:szCs w:val="22"/>
          <w:lang w:val="sr-Latn-RS"/>
        </w:rPr>
        <w:t xml:space="preserve"> о </w:t>
      </w:r>
      <w:proofErr w:type="spellStart"/>
      <w:r>
        <w:rPr>
          <w:sz w:val="22"/>
          <w:szCs w:val="22"/>
          <w:lang w:val="sr-Latn-RS"/>
        </w:rPr>
        <w:t>изменама</w:t>
      </w:r>
      <w:proofErr w:type="spellEnd"/>
      <w:r>
        <w:rPr>
          <w:sz w:val="22"/>
          <w:szCs w:val="22"/>
          <w:lang w:val="sr-Latn-RS"/>
        </w:rPr>
        <w:t xml:space="preserve"> и </w:t>
      </w:r>
      <w:proofErr w:type="spellStart"/>
      <w:r>
        <w:rPr>
          <w:sz w:val="22"/>
          <w:szCs w:val="22"/>
          <w:lang w:val="sr-Latn-RS"/>
        </w:rPr>
        <w:t>допунама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Закона</w:t>
      </w:r>
      <w:proofErr w:type="spellEnd"/>
      <w:r>
        <w:rPr>
          <w:sz w:val="22"/>
          <w:szCs w:val="22"/>
          <w:lang w:val="sr-Latn-RS"/>
        </w:rPr>
        <w:t xml:space="preserve"> о </w:t>
      </w:r>
      <w:proofErr w:type="spellStart"/>
      <w:r>
        <w:rPr>
          <w:sz w:val="22"/>
          <w:szCs w:val="22"/>
          <w:lang w:val="sr-Latn-RS"/>
        </w:rPr>
        <w:t>Агенцији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за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лиценцирање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стечајних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управника</w:t>
      </w:r>
      <w:proofErr w:type="spellEnd"/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(«</w:t>
      </w:r>
      <w:r>
        <w:rPr>
          <w:i/>
          <w:sz w:val="22"/>
          <w:szCs w:val="22"/>
          <w:lang w:val="sr-Cyrl-CS"/>
        </w:rPr>
        <w:t>Службени гласник Републике Србије» број 89/2015</w:t>
      </w:r>
      <w:r>
        <w:rPr>
          <w:sz w:val="22"/>
          <w:szCs w:val="22"/>
          <w:lang w:val="sr-Cyrl-CS"/>
        </w:rPr>
        <w:t xml:space="preserve">) и Националним стандардом број 5 о начину и поступку уновчења имовине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  <w:lang w:val="sr-Cyrl-CS"/>
        </w:rPr>
        <w:t xml:space="preserve"> («</w:t>
      </w:r>
      <w:r>
        <w:rPr>
          <w:i/>
          <w:sz w:val="22"/>
          <w:szCs w:val="22"/>
          <w:lang w:val="sr-Cyrl-CS"/>
        </w:rPr>
        <w:t xml:space="preserve">Службени гласник Републике Србије» </w:t>
      </w:r>
      <w:r>
        <w:rPr>
          <w:color w:val="000000"/>
          <w:sz w:val="22"/>
          <w:szCs w:val="22"/>
          <w:lang w:val="sr-Cyrl-CS"/>
        </w:rPr>
        <w:t>број 43/05)</w:t>
      </w:r>
      <w:r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CS"/>
        </w:rPr>
        <w:t>Аг</w:t>
      </w:r>
      <w:r>
        <w:rPr>
          <w:sz w:val="22"/>
          <w:szCs w:val="22"/>
          <w:lang w:val="sr-Cyrl-CS"/>
        </w:rPr>
        <w:t>енција за лиценцирање стечајних управника</w:t>
      </w:r>
      <w:r>
        <w:rPr>
          <w:sz w:val="22"/>
          <w:szCs w:val="22"/>
          <w:lang w:val="sr-Cyrl-RS"/>
        </w:rPr>
        <w:t>, као стечајни управник стечајног дужника</w:t>
      </w:r>
    </w:p>
    <w:p w14:paraId="5D47B63D" w14:textId="77777777" w:rsidR="0054545C" w:rsidRDefault="0054545C" w:rsidP="0054545C">
      <w:pPr>
        <w:jc w:val="both"/>
        <w:rPr>
          <w:sz w:val="22"/>
          <w:szCs w:val="22"/>
          <w:lang w:val="sr-Latn-RS"/>
        </w:rPr>
      </w:pPr>
    </w:p>
    <w:p w14:paraId="23272691" w14:textId="77777777" w:rsidR="002753F0" w:rsidRDefault="00C67144" w:rsidP="0054545C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ДП</w:t>
      </w:r>
      <w:r w:rsidR="0054545C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 </w:t>
      </w:r>
      <w:r w:rsidR="0054545C">
        <w:rPr>
          <w:b/>
          <w:sz w:val="22"/>
          <w:szCs w:val="22"/>
          <w:lang w:val="sr-Cyrl-RS"/>
        </w:rPr>
        <w:t>„</w:t>
      </w:r>
      <w:r>
        <w:rPr>
          <w:b/>
          <w:sz w:val="22"/>
          <w:szCs w:val="22"/>
          <w:lang w:val="sr-Cyrl-RS"/>
        </w:rPr>
        <w:t>КРАМЕР</w:t>
      </w:r>
      <w:r w:rsidR="0054545C">
        <w:rPr>
          <w:b/>
          <w:sz w:val="22"/>
          <w:szCs w:val="22"/>
          <w:lang w:val="sr-Cyrl-RS"/>
        </w:rPr>
        <w:t>“</w:t>
      </w:r>
      <w:r w:rsidR="002753F0">
        <w:rPr>
          <w:b/>
          <w:sz w:val="22"/>
          <w:szCs w:val="22"/>
          <w:lang w:val="sr-Cyrl-RS"/>
        </w:rPr>
        <w:t xml:space="preserve"> </w:t>
      </w:r>
      <w:r w:rsidR="0054545C">
        <w:rPr>
          <w:b/>
          <w:sz w:val="22"/>
          <w:szCs w:val="22"/>
          <w:lang w:val="sr-Cyrl-RS"/>
        </w:rPr>
        <w:t xml:space="preserve"> у стечају</w:t>
      </w:r>
      <w:r>
        <w:rPr>
          <w:b/>
          <w:sz w:val="22"/>
          <w:szCs w:val="22"/>
          <w:lang w:val="sr-Cyrl-RS"/>
        </w:rPr>
        <w:t>,</w:t>
      </w:r>
    </w:p>
    <w:p w14:paraId="2FFF4B70" w14:textId="77777777" w:rsidR="002753F0" w:rsidRDefault="002753F0" w:rsidP="0054545C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КУЛА</w:t>
      </w:r>
    </w:p>
    <w:p w14:paraId="6FFDDB74" w14:textId="77777777" w:rsidR="0054545C" w:rsidRDefault="00C67144" w:rsidP="0054545C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ул. Јосипа Крамера </w:t>
      </w:r>
      <w:r w:rsidR="002753F0">
        <w:rPr>
          <w:b/>
          <w:sz w:val="22"/>
          <w:szCs w:val="22"/>
          <w:lang w:val="sr-Cyrl-RS"/>
        </w:rPr>
        <w:t xml:space="preserve">бр. </w:t>
      </w:r>
      <w:r>
        <w:rPr>
          <w:b/>
          <w:sz w:val="22"/>
          <w:szCs w:val="22"/>
          <w:lang w:val="sr-Cyrl-RS"/>
        </w:rPr>
        <w:t>69</w:t>
      </w:r>
    </w:p>
    <w:p w14:paraId="78D8F430" w14:textId="77777777" w:rsidR="0054545C" w:rsidRDefault="0054545C" w:rsidP="0054545C">
      <w:pPr>
        <w:jc w:val="center"/>
        <w:rPr>
          <w:b/>
          <w:sz w:val="22"/>
          <w:szCs w:val="22"/>
          <w:lang w:val="sr-Cyrl-RS"/>
        </w:rPr>
      </w:pPr>
    </w:p>
    <w:p w14:paraId="361CC9CD" w14:textId="77777777" w:rsidR="00787CD2" w:rsidRDefault="00787CD2" w:rsidP="0054545C">
      <w:pPr>
        <w:jc w:val="center"/>
        <w:rPr>
          <w:b/>
          <w:sz w:val="22"/>
          <w:szCs w:val="22"/>
          <w:lang w:val="sr-Cyrl-RS"/>
        </w:rPr>
      </w:pPr>
    </w:p>
    <w:p w14:paraId="09769AC3" w14:textId="77777777" w:rsidR="0054545C" w:rsidRDefault="0054545C" w:rsidP="0054545C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ОГЛАШАВА</w:t>
      </w:r>
    </w:p>
    <w:p w14:paraId="261BE3CA" w14:textId="77777777" w:rsidR="0054545C" w:rsidRDefault="0054545C" w:rsidP="0054545C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Продају непокретне имовине јавним надметањем </w:t>
      </w:r>
      <w:r>
        <w:rPr>
          <w:b/>
          <w:sz w:val="22"/>
          <w:szCs w:val="22"/>
          <w:lang w:val="sr-Latn-RS"/>
        </w:rPr>
        <w:t>(</w:t>
      </w:r>
      <w:r>
        <w:rPr>
          <w:b/>
          <w:sz w:val="22"/>
          <w:szCs w:val="22"/>
          <w:lang w:val="sr-Cyrl-RS"/>
        </w:rPr>
        <w:t>први пут</w:t>
      </w:r>
      <w:r>
        <w:rPr>
          <w:b/>
          <w:sz w:val="22"/>
          <w:szCs w:val="22"/>
          <w:lang w:val="sr-Latn-RS"/>
        </w:rPr>
        <w:t>)</w:t>
      </w:r>
    </w:p>
    <w:p w14:paraId="16FE71A9" w14:textId="77777777" w:rsidR="0054545C" w:rsidRDefault="0054545C" w:rsidP="0054545C">
      <w:pPr>
        <w:jc w:val="both"/>
        <w:rPr>
          <w:b/>
          <w:sz w:val="22"/>
          <w:szCs w:val="22"/>
          <w:lang w:val="sr-Cyrl-RS"/>
        </w:rPr>
      </w:pPr>
    </w:p>
    <w:p w14:paraId="3A5B197E" w14:textId="77777777" w:rsidR="0054545C" w:rsidRDefault="0054545C" w:rsidP="00526B5A">
      <w:pPr>
        <w:ind w:right="-33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 xml:space="preserve">Предмет продаје је непокретна имовина стечајног дужника у КО </w:t>
      </w:r>
      <w:r w:rsidR="00C67144">
        <w:rPr>
          <w:sz w:val="22"/>
          <w:szCs w:val="22"/>
          <w:lang w:val="sr-Cyrl-RS"/>
        </w:rPr>
        <w:t>Кула</w:t>
      </w:r>
      <w:r>
        <w:rPr>
          <w:sz w:val="22"/>
          <w:szCs w:val="22"/>
          <w:lang w:val="sr-Cyrl-RS"/>
        </w:rPr>
        <w:t>, означена као Целина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 1</w:t>
      </w:r>
      <w:r w:rsidR="00526B5A">
        <w:rPr>
          <w:sz w:val="22"/>
          <w:szCs w:val="22"/>
          <w:lang w:val="sr-Cyrl-RS"/>
        </w:rPr>
        <w:t xml:space="preserve">, и </w:t>
      </w:r>
      <w:r>
        <w:rPr>
          <w:sz w:val="22"/>
          <w:szCs w:val="22"/>
          <w:lang w:val="sr-Cyrl-RS"/>
        </w:rPr>
        <w:t xml:space="preserve">то: </w:t>
      </w:r>
      <w:r>
        <w:rPr>
          <w:sz w:val="22"/>
          <w:szCs w:val="22"/>
          <w:lang w:val="sr-Latn-RS"/>
        </w:rPr>
        <w:t xml:space="preserve"> </w:t>
      </w:r>
    </w:p>
    <w:tbl>
      <w:tblPr>
        <w:tblW w:w="9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7"/>
        <w:gridCol w:w="1968"/>
        <w:gridCol w:w="1856"/>
      </w:tblGrid>
      <w:tr w:rsidR="0054545C" w14:paraId="1CCCB897" w14:textId="77777777" w:rsidTr="00526B5A">
        <w:trPr>
          <w:trHeight w:val="559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B9FC" w14:textId="77777777" w:rsidR="0054545C" w:rsidRDefault="0054545C">
            <w:pPr>
              <w:spacing w:line="254" w:lineRule="auto"/>
              <w:jc w:val="center"/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 xml:space="preserve">Предмет продаје (назив имовине) </w:t>
            </w:r>
            <w:r>
              <w:rPr>
                <w:i/>
                <w:iCs/>
                <w:sz w:val="22"/>
                <w:szCs w:val="22"/>
                <w:lang w:val="sr-Cyrl-RS"/>
              </w:rPr>
              <w:tab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CFC3" w14:textId="77777777" w:rsidR="0054545C" w:rsidRDefault="0054545C">
            <w:pPr>
              <w:spacing w:line="254" w:lineRule="auto"/>
              <w:jc w:val="center"/>
              <w:rPr>
                <w:i/>
                <w:iCs/>
                <w:sz w:val="22"/>
                <w:szCs w:val="22"/>
                <w:lang w:val="sr-Latn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Почетна цена у РСД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5629" w14:textId="77777777" w:rsidR="0054545C" w:rsidRDefault="0054545C">
            <w:pPr>
              <w:spacing w:line="254" w:lineRule="auto"/>
              <w:jc w:val="center"/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 xml:space="preserve">Депозит </w:t>
            </w:r>
          </w:p>
          <w:p w14:paraId="2E2D596F" w14:textId="77777777" w:rsidR="0054545C" w:rsidRDefault="0054545C">
            <w:pPr>
              <w:spacing w:line="254" w:lineRule="auto"/>
              <w:jc w:val="center"/>
              <w:rPr>
                <w:i/>
                <w:iCs/>
                <w:sz w:val="22"/>
                <w:szCs w:val="22"/>
                <w:lang w:val="sr-Latn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у РСД</w:t>
            </w:r>
          </w:p>
        </w:tc>
      </w:tr>
      <w:tr w:rsidR="0054545C" w14:paraId="33187F2E" w14:textId="77777777" w:rsidTr="00526B5A">
        <w:trPr>
          <w:trHeight w:val="4253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3458" w14:textId="77777777" w:rsidR="0054545C" w:rsidRDefault="0054545C">
            <w:pPr>
              <w:spacing w:after="6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Имовинска целина  1. </w:t>
            </w:r>
          </w:p>
          <w:p w14:paraId="3F2F1CB7" w14:textId="1FF83A95" w:rsidR="0054545C" w:rsidRDefault="00B150AE" w:rsidP="00FB49BC">
            <w:pPr>
              <w:spacing w:after="60"/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Објекти</w:t>
            </w:r>
            <w:r w:rsidR="00FB49BC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који се налазе у Кули, Улица Јосипа Крамера,</w:t>
            </w:r>
            <w:r w:rsidR="00C67144" w:rsidRPr="00FB49BC">
              <w:rPr>
                <w:bCs/>
                <w:color w:val="000000"/>
                <w:sz w:val="22"/>
                <w:szCs w:val="22"/>
                <w:lang w:val="sr-Cyrl-RS"/>
              </w:rPr>
              <w:t xml:space="preserve"> изграђен</w:t>
            </w:r>
            <w:r w:rsidR="00FB49BC" w:rsidRPr="00FB49BC">
              <w:rPr>
                <w:bCs/>
                <w:color w:val="000000"/>
                <w:sz w:val="22"/>
                <w:szCs w:val="22"/>
                <w:lang w:val="sr-Cyrl-RS"/>
              </w:rPr>
              <w:t>и</w:t>
            </w:r>
            <w:r w:rsidR="00C67144" w:rsidRPr="00FB49BC">
              <w:rPr>
                <w:bCs/>
                <w:color w:val="000000"/>
                <w:sz w:val="22"/>
                <w:szCs w:val="22"/>
                <w:lang w:val="sr-Cyrl-RS"/>
              </w:rPr>
              <w:t xml:space="preserve"> на </w:t>
            </w:r>
            <w:proofErr w:type="spellStart"/>
            <w:r w:rsidR="00C67144" w:rsidRPr="00E70612">
              <w:rPr>
                <w:b/>
                <w:color w:val="000000"/>
                <w:sz w:val="22"/>
                <w:szCs w:val="22"/>
                <w:lang w:val="sr-Cyrl-RS"/>
              </w:rPr>
              <w:t>кп</w:t>
            </w:r>
            <w:proofErr w:type="spellEnd"/>
            <w:r w:rsidR="00C67144" w:rsidRPr="00E70612">
              <w:rPr>
                <w:b/>
                <w:color w:val="000000"/>
                <w:sz w:val="22"/>
                <w:szCs w:val="22"/>
                <w:lang w:val="sr-Cyrl-RS"/>
              </w:rPr>
              <w:t xml:space="preserve"> 5749/6</w:t>
            </w:r>
            <w:r w:rsidR="00C67144" w:rsidRPr="00FB49BC">
              <w:rPr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54545C" w:rsidRPr="00FB49BC">
              <w:rPr>
                <w:bCs/>
                <w:color w:val="000000"/>
                <w:sz w:val="22"/>
                <w:szCs w:val="22"/>
                <w:lang w:val="sr-Cyrl-RS"/>
              </w:rPr>
              <w:t xml:space="preserve"> уписан</w:t>
            </w:r>
            <w:r w:rsidR="00FB49BC" w:rsidRPr="00FB49BC">
              <w:rPr>
                <w:bCs/>
                <w:color w:val="000000"/>
                <w:sz w:val="22"/>
                <w:szCs w:val="22"/>
                <w:lang w:val="sr-Cyrl-RS"/>
              </w:rPr>
              <w:t>и</w:t>
            </w:r>
            <w:r w:rsidR="0054545C" w:rsidRPr="00FB49BC">
              <w:rPr>
                <w:bCs/>
                <w:color w:val="000000"/>
                <w:sz w:val="22"/>
                <w:szCs w:val="22"/>
                <w:lang w:val="sr-Cyrl-RS"/>
              </w:rPr>
              <w:t xml:space="preserve"> у </w:t>
            </w:r>
            <w:r w:rsidR="0054545C" w:rsidRPr="00E70612">
              <w:rPr>
                <w:b/>
                <w:color w:val="000000"/>
                <w:sz w:val="22"/>
                <w:szCs w:val="22"/>
                <w:lang w:val="sr-Cyrl-RS"/>
              </w:rPr>
              <w:t xml:space="preserve">ЛН </w:t>
            </w:r>
            <w:r w:rsidR="00C67144" w:rsidRPr="00E70612">
              <w:rPr>
                <w:b/>
                <w:color w:val="000000"/>
                <w:sz w:val="22"/>
                <w:szCs w:val="22"/>
                <w:lang w:val="sr-Cyrl-RS"/>
              </w:rPr>
              <w:t>835</w:t>
            </w:r>
            <w:r w:rsidR="0054545C" w:rsidRPr="00E70612">
              <w:rPr>
                <w:b/>
                <w:color w:val="000000"/>
                <w:sz w:val="22"/>
                <w:szCs w:val="22"/>
                <w:lang w:val="sr-Cyrl-RS"/>
              </w:rPr>
              <w:t xml:space="preserve"> КО </w:t>
            </w:r>
            <w:r w:rsidR="00C67144" w:rsidRPr="00E70612">
              <w:rPr>
                <w:b/>
                <w:color w:val="000000"/>
                <w:sz w:val="22"/>
                <w:szCs w:val="22"/>
                <w:lang w:val="sr-Cyrl-RS"/>
              </w:rPr>
              <w:t>Кула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, објекти уписани по Закону о озакоњењу, врста прав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lang w:val="sr-Cyrl-RS"/>
              </w:rPr>
              <w:t>а</w:t>
            </w:r>
            <w:r w:rsidR="00AA2F6B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својина, облик својине</w:t>
            </w:r>
            <w:r w:rsidR="00AA2F6B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дру</w:t>
            </w:r>
            <w:r w:rsidR="00DE509F">
              <w:rPr>
                <w:bCs/>
                <w:color w:val="000000"/>
                <w:sz w:val="22"/>
                <w:szCs w:val="22"/>
                <w:lang w:val="sr-Cyrl-RS"/>
              </w:rPr>
              <w:t>ш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твена у кори</w:t>
            </w:r>
            <w:r w:rsidR="00AA2F6B">
              <w:rPr>
                <w:bCs/>
                <w:color w:val="000000"/>
                <w:sz w:val="22"/>
                <w:szCs w:val="22"/>
                <w:lang w:val="sr-Cyrl-RS"/>
              </w:rPr>
              <w:t>ст ДП КРАМЕР У СТЕЧАЈУ, Јосипа Крамера 69 са обимом удела 1/1, и то:</w:t>
            </w:r>
          </w:p>
          <w:p w14:paraId="0D6D5EFE" w14:textId="77777777" w:rsidR="00E70612" w:rsidRDefault="00E70612" w:rsidP="00E70612">
            <w:pPr>
              <w:spacing w:after="60"/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-Зграда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бр. 2,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Гаража, приземље, површине 153,00</w:t>
            </w:r>
            <w:r w:rsidR="00526B5A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м</w:t>
            </w:r>
            <w:r w:rsidRPr="00526B5A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37E1E6D4" w14:textId="77777777" w:rsidR="00E70612" w:rsidRDefault="00E70612" w:rsidP="00E70612">
            <w:pPr>
              <w:spacing w:after="60"/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-Зграда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бр.</w:t>
            </w:r>
            <w:r w:rsidR="00526B5A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3,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Помоћна зграда-МАГАЦИН, приземље, површине 145,00</w:t>
            </w:r>
            <w:r w:rsidR="00526B5A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м</w:t>
            </w:r>
            <w:r w:rsidRPr="00526B5A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</w:p>
          <w:p w14:paraId="70612177" w14:textId="77777777" w:rsidR="00E70612" w:rsidRDefault="00E70612" w:rsidP="00E70612">
            <w:pPr>
              <w:spacing w:after="60"/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Зграда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бр. 4</w:t>
            </w:r>
            <w:r w:rsidRPr="00526B5A">
              <w:rPr>
                <w:b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Помоћна зграда-НАДСТРЕШНИЦА, приземље,  површине 350,00</w:t>
            </w:r>
            <w:r w:rsidR="00526B5A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м</w:t>
            </w:r>
            <w:r w:rsidRPr="00526B5A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594DB2E3" w14:textId="77777777" w:rsidR="00E70612" w:rsidRDefault="00E70612" w:rsidP="00E70612">
            <w:pPr>
              <w:spacing w:after="60"/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Зграда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бр.</w:t>
            </w:r>
            <w:r w:rsidR="00526B5A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5,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Помоћна зграда-МАГАЦИН, приземље,  површине 473,00</w:t>
            </w:r>
            <w:r w:rsidR="00526B5A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м</w:t>
            </w:r>
            <w:r w:rsidRPr="00526B5A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14D49498" w14:textId="77777777" w:rsidR="00E70612" w:rsidRDefault="00E70612" w:rsidP="00E70612">
            <w:pPr>
              <w:spacing w:after="60"/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Зграда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бр. 6,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Помоћна зграда-МАГАЦИН, приземље,  површине 515,00</w:t>
            </w:r>
            <w:r w:rsidR="00526B5A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м</w:t>
            </w:r>
            <w:r w:rsidRPr="00526B5A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4CD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Latn-RS"/>
              </w:rPr>
            </w:pPr>
          </w:p>
          <w:p w14:paraId="76A2FE2F" w14:textId="77777777" w:rsidR="0054545C" w:rsidRDefault="0054545C">
            <w:pPr>
              <w:spacing w:line="254" w:lineRule="auto"/>
              <w:rPr>
                <w:b/>
                <w:sz w:val="22"/>
                <w:szCs w:val="22"/>
              </w:rPr>
            </w:pPr>
          </w:p>
          <w:p w14:paraId="65FE3660" w14:textId="77777777" w:rsidR="00E70612" w:rsidRDefault="00E70612">
            <w:pPr>
              <w:spacing w:line="254" w:lineRule="auto"/>
              <w:rPr>
                <w:b/>
                <w:sz w:val="22"/>
                <w:szCs w:val="22"/>
              </w:rPr>
            </w:pPr>
          </w:p>
          <w:p w14:paraId="6478F0E4" w14:textId="77777777" w:rsidR="00E70612" w:rsidRDefault="00E70612">
            <w:pPr>
              <w:spacing w:line="254" w:lineRule="auto"/>
              <w:rPr>
                <w:b/>
                <w:sz w:val="22"/>
                <w:szCs w:val="22"/>
              </w:rPr>
            </w:pPr>
          </w:p>
          <w:p w14:paraId="0EBE49E0" w14:textId="77777777" w:rsidR="00E70612" w:rsidRDefault="00E70612">
            <w:pPr>
              <w:spacing w:line="254" w:lineRule="auto"/>
              <w:rPr>
                <w:b/>
                <w:sz w:val="22"/>
                <w:szCs w:val="22"/>
              </w:rPr>
            </w:pPr>
          </w:p>
          <w:p w14:paraId="3524D132" w14:textId="77777777" w:rsidR="00526B5A" w:rsidRDefault="00526B5A" w:rsidP="00526B5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  <w:p w14:paraId="607A3531" w14:textId="77777777" w:rsidR="0054545C" w:rsidRPr="002753F0" w:rsidRDefault="0054545C" w:rsidP="00526B5A">
            <w:pPr>
              <w:spacing w:line="254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2753F0">
              <w:rPr>
                <w:b/>
                <w:sz w:val="22"/>
                <w:szCs w:val="22"/>
                <w:lang w:val="sr-Cyrl-RS"/>
              </w:rPr>
              <w:t>902.748,45</w:t>
            </w:r>
          </w:p>
          <w:p w14:paraId="4B578453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Latn-RS"/>
              </w:rPr>
            </w:pPr>
          </w:p>
          <w:p w14:paraId="777C30BA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Latn-RS"/>
              </w:rPr>
            </w:pPr>
          </w:p>
          <w:p w14:paraId="726641D5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Cyrl-RS"/>
              </w:rPr>
            </w:pPr>
          </w:p>
          <w:p w14:paraId="57F888BB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D9D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Latn-RS"/>
              </w:rPr>
            </w:pPr>
          </w:p>
          <w:p w14:paraId="11887E84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Latn-RS"/>
              </w:rPr>
            </w:pPr>
          </w:p>
          <w:p w14:paraId="3C6A58CF" w14:textId="77777777" w:rsidR="00E70612" w:rsidRDefault="00E70612">
            <w:pPr>
              <w:spacing w:line="254" w:lineRule="auto"/>
              <w:jc w:val="right"/>
              <w:rPr>
                <w:b/>
                <w:sz w:val="22"/>
                <w:szCs w:val="22"/>
                <w:lang w:val="sr-Cyrl-RS"/>
              </w:rPr>
            </w:pPr>
          </w:p>
          <w:p w14:paraId="56DDC248" w14:textId="77777777" w:rsidR="00E70612" w:rsidRDefault="00E70612">
            <w:pPr>
              <w:spacing w:line="254" w:lineRule="auto"/>
              <w:jc w:val="right"/>
              <w:rPr>
                <w:b/>
                <w:sz w:val="22"/>
                <w:szCs w:val="22"/>
                <w:lang w:val="sr-Cyrl-RS"/>
              </w:rPr>
            </w:pPr>
          </w:p>
          <w:p w14:paraId="14733022" w14:textId="77777777" w:rsidR="00E70612" w:rsidRDefault="00E70612">
            <w:pPr>
              <w:spacing w:line="254" w:lineRule="auto"/>
              <w:jc w:val="right"/>
              <w:rPr>
                <w:b/>
                <w:sz w:val="22"/>
                <w:szCs w:val="22"/>
                <w:lang w:val="sr-Cyrl-RS"/>
              </w:rPr>
            </w:pPr>
          </w:p>
          <w:p w14:paraId="220A3204" w14:textId="77777777" w:rsidR="00526B5A" w:rsidRDefault="00526B5A" w:rsidP="00526B5A">
            <w:pPr>
              <w:spacing w:line="254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14:paraId="7C2D76A0" w14:textId="77777777" w:rsidR="0054545C" w:rsidRPr="002753F0" w:rsidRDefault="002753F0" w:rsidP="00526B5A">
            <w:pPr>
              <w:spacing w:line="254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2.761.099,38</w:t>
            </w:r>
          </w:p>
          <w:p w14:paraId="772CDAA6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Latn-RS"/>
              </w:rPr>
            </w:pPr>
          </w:p>
          <w:p w14:paraId="0ECCFC55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Latn-RS"/>
              </w:rPr>
            </w:pPr>
          </w:p>
          <w:p w14:paraId="68F8FD40" w14:textId="77777777" w:rsidR="0054545C" w:rsidRDefault="0054545C">
            <w:pPr>
              <w:spacing w:line="254" w:lineRule="auto"/>
              <w:jc w:val="right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4DD3D603" w14:textId="77777777" w:rsidR="0054545C" w:rsidRDefault="0054545C" w:rsidP="0054545C">
      <w:pPr>
        <w:spacing w:after="60"/>
        <w:jc w:val="both"/>
        <w:rPr>
          <w:b/>
          <w:sz w:val="22"/>
          <w:szCs w:val="22"/>
          <w:lang w:val="sr-Cyrl-CS"/>
        </w:rPr>
      </w:pPr>
    </w:p>
    <w:p w14:paraId="52C603CF" w14:textId="77777777" w:rsidR="0054545C" w:rsidRDefault="0054545C" w:rsidP="0054545C">
      <w:pPr>
        <w:spacing w:after="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која:</w:t>
      </w:r>
    </w:p>
    <w:p w14:paraId="118D0A6C" w14:textId="633B9033" w:rsidR="0054545C" w:rsidRDefault="0054545C" w:rsidP="0054545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након добијања </w:t>
      </w:r>
      <w:proofErr w:type="spellStart"/>
      <w:r>
        <w:rPr>
          <w:sz w:val="22"/>
          <w:szCs w:val="22"/>
          <w:lang w:val="sr-Cyrl-CS"/>
        </w:rPr>
        <w:t>профактуре</w:t>
      </w:r>
      <w:proofErr w:type="spellEnd"/>
      <w:r>
        <w:rPr>
          <w:sz w:val="22"/>
          <w:szCs w:val="22"/>
          <w:lang w:val="sr-Cyrl-CS"/>
        </w:rPr>
        <w:t>, изврше уплату  ради откупа продајне документације у износу од</w:t>
      </w:r>
      <w:r>
        <w:rPr>
          <w:b/>
          <w:sz w:val="22"/>
          <w:szCs w:val="22"/>
          <w:lang w:val="sr-Cyrl-CS"/>
        </w:rPr>
        <w:t xml:space="preserve"> </w:t>
      </w:r>
      <w:r w:rsidR="002753F0">
        <w:rPr>
          <w:b/>
          <w:sz w:val="22"/>
          <w:szCs w:val="22"/>
          <w:lang w:val="sr-Cyrl-CS"/>
        </w:rPr>
        <w:t>4</w:t>
      </w:r>
      <w:r>
        <w:rPr>
          <w:b/>
          <w:sz w:val="22"/>
          <w:szCs w:val="22"/>
          <w:lang w:val="sr-Cyrl-RS"/>
        </w:rPr>
        <w:t>0</w:t>
      </w:r>
      <w:r>
        <w:rPr>
          <w:b/>
          <w:sz w:val="22"/>
          <w:szCs w:val="22"/>
          <w:lang w:val="sr-Latn-RS"/>
        </w:rPr>
        <w:t>.000</w:t>
      </w:r>
      <w:r>
        <w:rPr>
          <w:b/>
          <w:sz w:val="22"/>
          <w:szCs w:val="22"/>
          <w:lang w:val="sr-Cyrl-CS"/>
        </w:rPr>
        <w:t>,00 динара</w:t>
      </w:r>
      <w:r>
        <w:rPr>
          <w:sz w:val="22"/>
          <w:szCs w:val="22"/>
          <w:lang w:val="sr-Cyrl-CS"/>
        </w:rPr>
        <w:t xml:space="preserve">. </w:t>
      </w:r>
      <w:proofErr w:type="spellStart"/>
      <w:r>
        <w:rPr>
          <w:sz w:val="22"/>
          <w:szCs w:val="22"/>
          <w:lang w:val="sr-Cyrl-CS"/>
        </w:rPr>
        <w:t>Профактура</w:t>
      </w:r>
      <w:proofErr w:type="spellEnd"/>
      <w:r>
        <w:rPr>
          <w:sz w:val="22"/>
          <w:szCs w:val="22"/>
          <w:lang w:val="sr-Cyrl-CS"/>
        </w:rPr>
        <w:t xml:space="preserve"> се може преузети сваког радног дана у периоду од </w:t>
      </w:r>
      <w:r w:rsidR="002753F0">
        <w:rPr>
          <w:sz w:val="22"/>
          <w:szCs w:val="22"/>
          <w:lang w:val="sr-Cyrl-CS"/>
        </w:rPr>
        <w:t>08</w:t>
      </w:r>
      <w:r>
        <w:rPr>
          <w:sz w:val="22"/>
          <w:szCs w:val="22"/>
          <w:lang w:val="sr-Cyrl-CS"/>
        </w:rPr>
        <w:t>:00 до 1</w:t>
      </w:r>
      <w:r w:rsidR="002753F0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 xml:space="preserve">:00 часова </w:t>
      </w:r>
      <w:r w:rsidR="002753F0">
        <w:rPr>
          <w:sz w:val="22"/>
          <w:szCs w:val="22"/>
          <w:lang w:val="sr-Cyrl-CS"/>
        </w:rPr>
        <w:t>у просторијама стечајног дужника</w:t>
      </w:r>
      <w:r>
        <w:rPr>
          <w:sz w:val="22"/>
          <w:szCs w:val="22"/>
          <w:lang w:val="sr-Cyrl-CS"/>
        </w:rPr>
        <w:t xml:space="preserve"> уз обавезну телефонску најаву поверенику стечајног управника или електронским путем</w:t>
      </w:r>
      <w:r>
        <w:rPr>
          <w:sz w:val="22"/>
          <w:szCs w:val="22"/>
          <w:lang w:val="ru-RU"/>
        </w:rPr>
        <w:t>. Р</w:t>
      </w:r>
      <w:proofErr w:type="spellStart"/>
      <w:r>
        <w:rPr>
          <w:sz w:val="22"/>
          <w:szCs w:val="22"/>
          <w:lang w:val="sr-Cyrl-CS"/>
        </w:rPr>
        <w:t>ок</w:t>
      </w:r>
      <w:proofErr w:type="spellEnd"/>
      <w:r>
        <w:rPr>
          <w:sz w:val="22"/>
          <w:szCs w:val="22"/>
          <w:lang w:val="sr-Cyrl-CS"/>
        </w:rPr>
        <w:t xml:space="preserve"> за откуп продајне документације је </w:t>
      </w:r>
      <w:r w:rsidR="00C745BE">
        <w:rPr>
          <w:b/>
          <w:bCs/>
          <w:sz w:val="22"/>
          <w:szCs w:val="22"/>
        </w:rPr>
        <w:t>01.07</w:t>
      </w:r>
      <w:r w:rsidRPr="002753F0">
        <w:rPr>
          <w:b/>
          <w:bCs/>
          <w:sz w:val="22"/>
          <w:szCs w:val="22"/>
          <w:lang w:val="sr-Cyrl-CS"/>
        </w:rPr>
        <w:t>.20</w:t>
      </w:r>
      <w:r w:rsidRPr="002753F0">
        <w:rPr>
          <w:b/>
          <w:bCs/>
          <w:sz w:val="22"/>
          <w:szCs w:val="22"/>
          <w:lang w:val="sr-Latn-RS"/>
        </w:rPr>
        <w:t>20</w:t>
      </w:r>
      <w:r w:rsidRPr="002753F0">
        <w:rPr>
          <w:b/>
          <w:bCs/>
          <w:sz w:val="22"/>
          <w:szCs w:val="22"/>
          <w:lang w:val="sr-Cyrl-CS"/>
        </w:rPr>
        <w:t>. год</w:t>
      </w:r>
      <w:r w:rsidRPr="002753F0">
        <w:rPr>
          <w:b/>
          <w:bCs/>
          <w:sz w:val="22"/>
          <w:szCs w:val="22"/>
          <w:lang w:val="sr-Cyrl-RS"/>
        </w:rPr>
        <w:t>ине</w:t>
      </w:r>
      <w:r>
        <w:rPr>
          <w:bCs/>
          <w:sz w:val="22"/>
          <w:szCs w:val="22"/>
          <w:lang w:val="sr-Cyrl-CS"/>
        </w:rPr>
        <w:t>;</w:t>
      </w:r>
    </w:p>
    <w:p w14:paraId="6AD58C20" w14:textId="312EEBAF" w:rsidR="0054545C" w:rsidRDefault="0054545C" w:rsidP="0054545C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уплате </w:t>
      </w:r>
      <w:r>
        <w:rPr>
          <w:b/>
          <w:sz w:val="22"/>
          <w:szCs w:val="22"/>
          <w:lang w:val="sr-Cyrl-CS"/>
        </w:rPr>
        <w:t>депозит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у износу од</w:t>
      </w:r>
      <w:r>
        <w:rPr>
          <w:b/>
          <w:sz w:val="22"/>
          <w:szCs w:val="22"/>
          <w:lang w:val="sr-Cyrl-CS"/>
        </w:rPr>
        <w:t xml:space="preserve"> </w:t>
      </w:r>
      <w:r w:rsidR="002753F0">
        <w:rPr>
          <w:b/>
          <w:sz w:val="22"/>
          <w:szCs w:val="22"/>
          <w:lang w:val="sr-Cyrl-CS"/>
        </w:rPr>
        <w:t>2.761.099,38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CS"/>
        </w:rPr>
        <w:t xml:space="preserve">динара, </w:t>
      </w:r>
      <w:r>
        <w:rPr>
          <w:sz w:val="22"/>
          <w:szCs w:val="22"/>
          <w:lang w:val="sr-Cyrl-CS"/>
        </w:rPr>
        <w:t xml:space="preserve">на текући рачун стечајног дужника број: </w:t>
      </w:r>
      <w:r>
        <w:rPr>
          <w:sz w:val="22"/>
          <w:szCs w:val="22"/>
          <w:lang w:val="sr-Cyrl-RS"/>
        </w:rPr>
        <w:t xml:space="preserve"> </w:t>
      </w:r>
      <w:r w:rsidR="002753F0" w:rsidRPr="00E70612">
        <w:rPr>
          <w:b/>
          <w:bCs/>
          <w:sz w:val="22"/>
          <w:szCs w:val="22"/>
          <w:lang w:val="sr-Cyrl-RS"/>
        </w:rPr>
        <w:t>325-9500600043248-92</w:t>
      </w:r>
      <w:r w:rsidRPr="00E70612">
        <w:rPr>
          <w:b/>
          <w:bCs/>
          <w:sz w:val="22"/>
          <w:szCs w:val="22"/>
          <w:lang w:val="sr-Cyrl-CS"/>
        </w:rPr>
        <w:t xml:space="preserve"> отворен код „</w:t>
      </w:r>
      <w:r w:rsidR="002753F0" w:rsidRPr="00E70612">
        <w:rPr>
          <w:b/>
          <w:bCs/>
          <w:sz w:val="22"/>
          <w:szCs w:val="22"/>
          <w:lang w:val="sr-Cyrl-CS"/>
        </w:rPr>
        <w:t>Војвођанска банка</w:t>
      </w:r>
      <w:r w:rsidRPr="00E70612">
        <w:rPr>
          <w:b/>
          <w:bCs/>
          <w:sz w:val="22"/>
          <w:szCs w:val="22"/>
          <w:lang w:val="sr-Cyrl-RS"/>
        </w:rPr>
        <w:t>“</w:t>
      </w:r>
      <w:r w:rsidRPr="00E70612">
        <w:rPr>
          <w:b/>
          <w:bCs/>
          <w:sz w:val="22"/>
          <w:szCs w:val="22"/>
        </w:rPr>
        <w:t xml:space="preserve"> </w:t>
      </w:r>
      <w:r w:rsidR="002753F0" w:rsidRPr="00E70612">
        <w:rPr>
          <w:b/>
          <w:bCs/>
          <w:sz w:val="22"/>
          <w:szCs w:val="22"/>
          <w:lang w:val="sr-Cyrl-RS"/>
        </w:rPr>
        <w:t>ад Нови Сад</w:t>
      </w:r>
      <w:r>
        <w:rPr>
          <w:b/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 најкасније</w:t>
      </w:r>
      <w:r>
        <w:rPr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5 радних дана</w:t>
      </w:r>
      <w:r>
        <w:rPr>
          <w:sz w:val="22"/>
          <w:szCs w:val="22"/>
          <w:lang w:val="sr-Cyrl-CS"/>
        </w:rPr>
        <w:t xml:space="preserve"> пре одржавања продаје (рок за уплату депозита је </w:t>
      </w:r>
      <w:r w:rsidR="00C745BE">
        <w:rPr>
          <w:sz w:val="22"/>
          <w:szCs w:val="22"/>
        </w:rPr>
        <w:t>01.07</w:t>
      </w:r>
      <w:r>
        <w:rPr>
          <w:sz w:val="22"/>
          <w:szCs w:val="22"/>
          <w:lang w:val="sr-Latn-RS"/>
        </w:rPr>
        <w:t>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Cyrl-CS"/>
        </w:rPr>
        <w:t xml:space="preserve">). У случају да се као депозит положи првокласна банкарска гаранција, </w:t>
      </w:r>
      <w:proofErr w:type="spellStart"/>
      <w:r>
        <w:rPr>
          <w:sz w:val="22"/>
          <w:szCs w:val="22"/>
          <w:lang w:val="sr-Cyrl-CS"/>
        </w:rPr>
        <w:t>ор</w:t>
      </w:r>
      <w:proofErr w:type="spellEnd"/>
      <w:r>
        <w:rPr>
          <w:sz w:val="22"/>
          <w:szCs w:val="22"/>
          <w:lang w:val="sr-Latn-CS"/>
        </w:rPr>
        <w:t>и</w:t>
      </w:r>
      <w:proofErr w:type="spellStart"/>
      <w:r>
        <w:rPr>
          <w:sz w:val="22"/>
          <w:szCs w:val="22"/>
          <w:lang w:val="sr-Cyrl-CS"/>
        </w:rPr>
        <w:t>гинал</w:t>
      </w:r>
      <w:proofErr w:type="spellEnd"/>
      <w:r>
        <w:rPr>
          <w:sz w:val="22"/>
          <w:szCs w:val="22"/>
          <w:lang w:val="sr-Cyrl-CS"/>
        </w:rPr>
        <w:t xml:space="preserve"> исте се ради провере мора доставити искључиво лично Служби финансија Агенције за </w:t>
      </w:r>
      <w:r>
        <w:rPr>
          <w:sz w:val="22"/>
          <w:szCs w:val="22"/>
          <w:lang w:val="sr-Cyrl-RS"/>
        </w:rPr>
        <w:t>лиценцирање стечајних управника</w:t>
      </w:r>
      <w:r>
        <w:rPr>
          <w:sz w:val="22"/>
          <w:szCs w:val="22"/>
          <w:lang w:val="sr-Cyrl-CS"/>
        </w:rPr>
        <w:t xml:space="preserve">, Београд, Теразије 23, 6. спрат, најкасније </w:t>
      </w:r>
      <w:r w:rsidR="00C745BE">
        <w:rPr>
          <w:b/>
          <w:bCs/>
          <w:sz w:val="22"/>
          <w:szCs w:val="22"/>
        </w:rPr>
        <w:t>01.07</w:t>
      </w:r>
      <w:r>
        <w:rPr>
          <w:b/>
          <w:bCs/>
          <w:sz w:val="22"/>
          <w:szCs w:val="22"/>
          <w:lang w:val="sr-Latn-RS"/>
        </w:rPr>
        <w:t>.</w:t>
      </w:r>
      <w:r>
        <w:rPr>
          <w:b/>
          <w:bCs/>
          <w:sz w:val="22"/>
          <w:szCs w:val="22"/>
          <w:lang w:val="sr-Cyrl-CS"/>
        </w:rPr>
        <w:t>20</w:t>
      </w:r>
      <w:r>
        <w:rPr>
          <w:b/>
          <w:bCs/>
          <w:sz w:val="22"/>
          <w:szCs w:val="22"/>
          <w:lang w:val="sr-Latn-RS"/>
        </w:rPr>
        <w:t>20</w:t>
      </w:r>
      <w:r>
        <w:rPr>
          <w:b/>
          <w:sz w:val="22"/>
          <w:szCs w:val="22"/>
          <w:lang w:val="sr-Cyrl-CS"/>
        </w:rPr>
        <w:t>. г</w:t>
      </w:r>
      <w:proofErr w:type="spellStart"/>
      <w:r>
        <w:rPr>
          <w:b/>
          <w:sz w:val="22"/>
          <w:szCs w:val="22"/>
          <w:lang w:val="sr-Latn-CS"/>
        </w:rPr>
        <w:t>одине</w:t>
      </w:r>
      <w:proofErr w:type="spellEnd"/>
      <w:r>
        <w:rPr>
          <w:sz w:val="22"/>
          <w:szCs w:val="22"/>
          <w:lang w:val="sr-Cyrl-CS"/>
        </w:rPr>
        <w:t xml:space="preserve"> до </w:t>
      </w:r>
      <w:r>
        <w:rPr>
          <w:b/>
          <w:bCs/>
          <w:sz w:val="22"/>
          <w:szCs w:val="22"/>
          <w:lang w:val="sr-Cyrl-CS"/>
        </w:rPr>
        <w:t>16:00 часова</w:t>
      </w:r>
      <w:r>
        <w:rPr>
          <w:sz w:val="22"/>
          <w:szCs w:val="22"/>
          <w:lang w:val="sr-Cyrl-CS"/>
        </w:rPr>
        <w:t xml:space="preserve"> по београдском времену (</w:t>
      </w:r>
      <w:r>
        <w:rPr>
          <w:sz w:val="22"/>
          <w:szCs w:val="22"/>
        </w:rPr>
        <w:t>GMT</w:t>
      </w:r>
      <w:r>
        <w:rPr>
          <w:sz w:val="22"/>
          <w:szCs w:val="22"/>
          <w:lang w:val="ru-RU"/>
        </w:rPr>
        <w:t>+</w:t>
      </w:r>
      <w:r w:rsidR="002753F0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).</w:t>
      </w:r>
      <w:r>
        <w:rPr>
          <w:sz w:val="22"/>
          <w:szCs w:val="22"/>
          <w:lang w:val="sr-Cyrl-CS"/>
        </w:rPr>
        <w:t xml:space="preserve"> Банкарска гаранција мора имати </w:t>
      </w:r>
      <w:r>
        <w:rPr>
          <w:b/>
          <w:sz w:val="22"/>
          <w:szCs w:val="22"/>
          <w:lang w:val="sr-Cyrl-CS"/>
        </w:rPr>
        <w:t xml:space="preserve">рок важења до </w:t>
      </w:r>
      <w:r w:rsidR="00C745BE">
        <w:rPr>
          <w:b/>
          <w:sz w:val="22"/>
          <w:szCs w:val="22"/>
        </w:rPr>
        <w:t>08.09</w:t>
      </w:r>
      <w:r>
        <w:rPr>
          <w:b/>
          <w:sz w:val="22"/>
          <w:szCs w:val="22"/>
          <w:lang w:val="sr-Cyrl-CS"/>
        </w:rPr>
        <w:t>.20</w:t>
      </w:r>
      <w:r>
        <w:rPr>
          <w:b/>
          <w:sz w:val="22"/>
          <w:szCs w:val="22"/>
          <w:lang w:val="sr-Latn-RS"/>
        </w:rPr>
        <w:t>20</w:t>
      </w:r>
      <w:r>
        <w:rPr>
          <w:b/>
          <w:sz w:val="22"/>
          <w:szCs w:val="22"/>
          <w:lang w:val="sr-Cyrl-CS"/>
        </w:rPr>
        <w:t>. године</w:t>
      </w:r>
      <w:r>
        <w:rPr>
          <w:sz w:val="22"/>
          <w:szCs w:val="22"/>
          <w:lang w:val="sr-Cyrl-CS"/>
        </w:rPr>
        <w:t xml:space="preserve">. У обзир ће се узети само банкарске гаранције које пристигну на назначену адресу у назначено време и са назначеним роком важења. </w:t>
      </w:r>
    </w:p>
    <w:p w14:paraId="1D6D9EFD" w14:textId="77777777" w:rsidR="0054545C" w:rsidRDefault="0054545C" w:rsidP="0054545C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14:paraId="6C8EE719" w14:textId="77777777" w:rsidR="0054545C" w:rsidRDefault="0054545C" w:rsidP="0054545C">
      <w:pPr>
        <w:jc w:val="both"/>
        <w:rPr>
          <w:sz w:val="22"/>
          <w:szCs w:val="22"/>
          <w:lang w:val="sr-Cyrl-CS"/>
        </w:rPr>
      </w:pPr>
    </w:p>
    <w:p w14:paraId="414494B5" w14:textId="0B755EA4" w:rsidR="0054545C" w:rsidRDefault="0054545C" w:rsidP="005454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>
        <w:rPr>
          <w:sz w:val="22"/>
          <w:szCs w:val="22"/>
          <w:lang w:val="ru-RU"/>
        </w:rPr>
        <w:t xml:space="preserve">сваким радним даном од </w:t>
      </w:r>
      <w:r w:rsidR="002753F0">
        <w:rPr>
          <w:sz w:val="22"/>
          <w:szCs w:val="22"/>
          <w:lang w:val="ru-RU"/>
        </w:rPr>
        <w:t>08</w:t>
      </w:r>
      <w:r w:rsidR="00526B5A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>00 до 1</w:t>
      </w:r>
      <w:r w:rsidR="002753F0">
        <w:rPr>
          <w:sz w:val="22"/>
          <w:szCs w:val="22"/>
          <w:lang w:val="ru-RU"/>
        </w:rPr>
        <w:t>4</w:t>
      </w:r>
      <w:r w:rsidR="00526B5A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00 часова, </w:t>
      </w:r>
      <w:r>
        <w:rPr>
          <w:sz w:val="22"/>
          <w:szCs w:val="22"/>
          <w:lang w:val="sr-Cyrl-CS"/>
        </w:rPr>
        <w:t>а најкасније 7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дана пре заказане продаје</w:t>
      </w:r>
      <w:r>
        <w:rPr>
          <w:sz w:val="22"/>
          <w:szCs w:val="22"/>
          <w:lang w:val="ru-RU"/>
        </w:rPr>
        <w:t xml:space="preserve"> уз претходну најаву </w:t>
      </w:r>
      <w:r>
        <w:rPr>
          <w:sz w:val="22"/>
          <w:szCs w:val="22"/>
          <w:lang w:val="sr-Cyrl-CS"/>
        </w:rPr>
        <w:t xml:space="preserve">поверенику стечајног управника, односно до </w:t>
      </w:r>
      <w:r w:rsidR="002C08F1">
        <w:rPr>
          <w:sz w:val="22"/>
          <w:szCs w:val="22"/>
        </w:rPr>
        <w:t>01.07</w:t>
      </w:r>
      <w:r>
        <w:rPr>
          <w:sz w:val="22"/>
          <w:szCs w:val="22"/>
          <w:lang w:val="sr-Cyrl-CS"/>
        </w:rPr>
        <w:t>.2020.године.</w:t>
      </w:r>
    </w:p>
    <w:p w14:paraId="7F09A982" w14:textId="77777777" w:rsidR="0054545C" w:rsidRDefault="0054545C" w:rsidP="0054545C">
      <w:pPr>
        <w:jc w:val="both"/>
        <w:rPr>
          <w:sz w:val="22"/>
          <w:szCs w:val="22"/>
          <w:lang w:val="sr-Cyrl-CS"/>
        </w:rPr>
      </w:pPr>
    </w:p>
    <w:p w14:paraId="30B8E48D" w14:textId="6FBF5587" w:rsidR="0054545C" w:rsidRDefault="0054545C" w:rsidP="0054545C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CS"/>
        </w:rPr>
        <w:t xml:space="preserve">Након уплате депозита, а најкасније до </w:t>
      </w:r>
      <w:r w:rsidR="002C08F1">
        <w:rPr>
          <w:b/>
          <w:bCs/>
          <w:sz w:val="22"/>
          <w:szCs w:val="22"/>
        </w:rPr>
        <w:t>01.07</w:t>
      </w:r>
      <w:r>
        <w:rPr>
          <w:b/>
          <w:sz w:val="22"/>
          <w:szCs w:val="22"/>
          <w:lang w:val="sr-Cyrl-CS"/>
        </w:rPr>
        <w:t>.20</w:t>
      </w:r>
      <w:r>
        <w:rPr>
          <w:b/>
          <w:sz w:val="22"/>
          <w:szCs w:val="22"/>
          <w:lang w:val="sr-Latn-RS"/>
        </w:rPr>
        <w:t>20</w:t>
      </w:r>
      <w:r>
        <w:rPr>
          <w:b/>
          <w:sz w:val="22"/>
          <w:szCs w:val="22"/>
          <w:lang w:val="sr-Cyrl-CS"/>
        </w:rPr>
        <w:t>. године,</w:t>
      </w:r>
      <w:r>
        <w:rPr>
          <w:sz w:val="22"/>
          <w:szCs w:val="22"/>
          <w:lang w:val="sr-Cyrl-CS"/>
        </w:rPr>
        <w:t xml:space="preserve"> потенцијални купци, ради правовремене евиденције, морају предати поверенику Агенције за лиценцирање стечајних управника:</w:t>
      </w:r>
      <w:r>
        <w:rPr>
          <w:sz w:val="22"/>
          <w:szCs w:val="22"/>
          <w:lang w:val="sr-Cyrl-BA"/>
        </w:rPr>
        <w:t xml:space="preserve"> попуњен </w:t>
      </w:r>
      <w:r>
        <w:rPr>
          <w:sz w:val="22"/>
          <w:szCs w:val="22"/>
          <w:lang w:val="sr-Cyrl-CS"/>
        </w:rPr>
        <w:t>образац пријаве за учешће</w:t>
      </w:r>
      <w:r>
        <w:rPr>
          <w:sz w:val="22"/>
          <w:szCs w:val="22"/>
          <w:lang w:val="sr-Cyrl-BA"/>
        </w:rPr>
        <w:t xml:space="preserve"> на јавном </w:t>
      </w:r>
      <w:proofErr w:type="spellStart"/>
      <w:r>
        <w:rPr>
          <w:sz w:val="22"/>
          <w:szCs w:val="22"/>
          <w:lang w:val="sr-Cyrl-BA"/>
        </w:rPr>
        <w:t>надметању</w:t>
      </w:r>
      <w:proofErr w:type="spellEnd"/>
      <w:r>
        <w:rPr>
          <w:sz w:val="22"/>
          <w:szCs w:val="22"/>
          <w:lang w:val="sr-Cyrl-BA"/>
        </w:rPr>
        <w:t xml:space="preserve">, доказ о уплати депозита или копију банкарске гаранције, потписану изјаву о губитку права на повраћај депозита, </w:t>
      </w:r>
      <w:r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>
        <w:rPr>
          <w:sz w:val="22"/>
          <w:szCs w:val="22"/>
          <w:lang w:val="sr-Cyrl-BA"/>
        </w:rPr>
        <w:t xml:space="preserve">, </w:t>
      </w:r>
      <w:proofErr w:type="spellStart"/>
      <w:r>
        <w:rPr>
          <w:sz w:val="22"/>
          <w:szCs w:val="22"/>
          <w:lang w:val="sr-Cyrl-BA"/>
        </w:rPr>
        <w:t>оверено</w:t>
      </w:r>
      <w:proofErr w:type="spellEnd"/>
      <w:r>
        <w:rPr>
          <w:sz w:val="22"/>
          <w:szCs w:val="22"/>
          <w:lang w:val="sr-Cyrl-BA"/>
        </w:rPr>
        <w:t xml:space="preserve"> овлашћење за заступање, уколико јавном </w:t>
      </w:r>
      <w:proofErr w:type="spellStart"/>
      <w:r>
        <w:rPr>
          <w:sz w:val="22"/>
          <w:szCs w:val="22"/>
          <w:lang w:val="sr-Cyrl-BA"/>
        </w:rPr>
        <w:t>надметању</w:t>
      </w:r>
      <w:proofErr w:type="spellEnd"/>
      <w:r>
        <w:rPr>
          <w:sz w:val="22"/>
          <w:szCs w:val="22"/>
          <w:lang w:val="sr-Cyrl-BA"/>
        </w:rPr>
        <w:t xml:space="preserve"> не присуствује потенцијални купац лично (за физичка лица) или законски заступник (за правна лица)</w:t>
      </w:r>
    </w:p>
    <w:p w14:paraId="4024C6AC" w14:textId="77777777" w:rsidR="0054545C" w:rsidRDefault="0054545C" w:rsidP="0054545C">
      <w:pPr>
        <w:jc w:val="both"/>
        <w:rPr>
          <w:sz w:val="22"/>
          <w:szCs w:val="22"/>
          <w:lang w:val="sr-Cyrl-CS"/>
        </w:rPr>
      </w:pPr>
    </w:p>
    <w:p w14:paraId="5DE678F8" w14:textId="15EAAD86" w:rsidR="0054545C" w:rsidRDefault="0054545C" w:rsidP="0054545C">
      <w:pPr>
        <w:jc w:val="both"/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Јавно надметање</w:t>
      </w:r>
      <w:r>
        <w:rPr>
          <w:sz w:val="22"/>
          <w:szCs w:val="22"/>
          <w:lang w:val="sr-Cyrl-CS"/>
        </w:rPr>
        <w:t xml:space="preserve"> одржаће се дана </w:t>
      </w:r>
      <w:r w:rsidR="002C08F1">
        <w:rPr>
          <w:b/>
          <w:bCs/>
          <w:sz w:val="22"/>
          <w:szCs w:val="22"/>
        </w:rPr>
        <w:t>08.07</w:t>
      </w:r>
      <w:r>
        <w:rPr>
          <w:b/>
          <w:bCs/>
          <w:sz w:val="22"/>
          <w:szCs w:val="22"/>
          <w:lang w:val="sr-Latn-RS"/>
        </w:rPr>
        <w:t>.</w:t>
      </w:r>
      <w:r>
        <w:rPr>
          <w:b/>
          <w:bCs/>
          <w:sz w:val="22"/>
          <w:szCs w:val="22"/>
          <w:lang w:val="sr-Cyrl-CS"/>
        </w:rPr>
        <w:t>20</w:t>
      </w:r>
      <w:r>
        <w:rPr>
          <w:b/>
          <w:bCs/>
          <w:sz w:val="22"/>
          <w:szCs w:val="22"/>
          <w:lang w:val="sr-Latn-RS"/>
        </w:rPr>
        <w:t>20</w:t>
      </w:r>
      <w:r>
        <w:rPr>
          <w:b/>
          <w:bCs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године</w:t>
      </w:r>
      <w:r>
        <w:rPr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 w:val="sr-Cyrl-CS"/>
        </w:rPr>
        <w:t xml:space="preserve">у </w:t>
      </w:r>
      <w:r>
        <w:rPr>
          <w:b/>
          <w:bCs/>
          <w:sz w:val="22"/>
          <w:szCs w:val="22"/>
          <w:lang w:val="sr-Latn-RS"/>
        </w:rPr>
        <w:t>11</w:t>
      </w:r>
      <w:r w:rsidR="00526B5A">
        <w:rPr>
          <w:b/>
          <w:bCs/>
          <w:sz w:val="22"/>
          <w:szCs w:val="22"/>
          <w:lang w:val="sr-Cyrl-RS"/>
        </w:rPr>
        <w:t>:</w:t>
      </w:r>
      <w:r>
        <w:rPr>
          <w:b/>
          <w:bCs/>
          <w:sz w:val="22"/>
          <w:szCs w:val="22"/>
          <w:lang w:val="sr-Latn-RS"/>
        </w:rPr>
        <w:t>00</w:t>
      </w:r>
      <w:r>
        <w:rPr>
          <w:b/>
          <w:sz w:val="22"/>
          <w:szCs w:val="22"/>
          <w:lang w:val="sr-Cyrl-CS"/>
        </w:rPr>
        <w:t xml:space="preserve"> часова</w:t>
      </w:r>
      <w:r>
        <w:rPr>
          <w:sz w:val="22"/>
          <w:szCs w:val="22"/>
          <w:lang w:val="sr-Cyrl-CS"/>
        </w:rPr>
        <w:t xml:space="preserve"> на следећој адреси:</w:t>
      </w:r>
      <w:r>
        <w:rPr>
          <w:b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Агенција за лиценцирање стечајних управника-Подручна јединица за стечај у Новом Саду, Нови Сад, Булевар Михајла Пупина 10, 5 спрат.</w:t>
      </w:r>
    </w:p>
    <w:p w14:paraId="6DBB9CAE" w14:textId="77777777" w:rsidR="0054545C" w:rsidRDefault="0054545C" w:rsidP="0054545C">
      <w:pPr>
        <w:jc w:val="both"/>
        <w:rPr>
          <w:b/>
          <w:sz w:val="22"/>
          <w:szCs w:val="22"/>
          <w:lang w:val="sr-Cyrl-CS"/>
        </w:rPr>
      </w:pPr>
    </w:p>
    <w:p w14:paraId="5176B034" w14:textId="77777777" w:rsidR="0054545C" w:rsidRDefault="0054545C" w:rsidP="0054545C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Регистрација учесника</w:t>
      </w:r>
      <w:r>
        <w:rPr>
          <w:sz w:val="22"/>
          <w:szCs w:val="22"/>
          <w:lang w:val="sr-Cyrl-CS"/>
        </w:rPr>
        <w:t xml:space="preserve"> почиње </w:t>
      </w:r>
      <w:r>
        <w:rPr>
          <w:b/>
          <w:sz w:val="22"/>
          <w:szCs w:val="22"/>
          <w:lang w:val="sr-Cyrl-CS"/>
        </w:rPr>
        <w:t>два сата</w:t>
      </w:r>
      <w:r>
        <w:rPr>
          <w:sz w:val="22"/>
          <w:szCs w:val="22"/>
          <w:lang w:val="sr-Cyrl-CS"/>
        </w:rPr>
        <w:t xml:space="preserve"> пре почетка јавног надметања, а завршава се </w:t>
      </w:r>
      <w:r>
        <w:rPr>
          <w:b/>
          <w:sz w:val="22"/>
          <w:szCs w:val="22"/>
          <w:lang w:val="sr-Cyrl-CS"/>
        </w:rPr>
        <w:t>10 минута</w:t>
      </w:r>
      <w:r>
        <w:rPr>
          <w:sz w:val="22"/>
          <w:szCs w:val="22"/>
          <w:lang w:val="sr-Cyrl-CS"/>
        </w:rPr>
        <w:t xml:space="preserve"> пре почетка јавног надметања, односно </w:t>
      </w:r>
      <w:r>
        <w:rPr>
          <w:sz w:val="22"/>
          <w:szCs w:val="22"/>
          <w:lang w:val="ru-RU"/>
        </w:rPr>
        <w:t xml:space="preserve">у периоду од </w:t>
      </w:r>
      <w:r>
        <w:rPr>
          <w:b/>
          <w:bCs/>
          <w:sz w:val="22"/>
          <w:szCs w:val="22"/>
          <w:lang w:val="ru-RU"/>
        </w:rPr>
        <w:t>09</w:t>
      </w:r>
      <w:r>
        <w:rPr>
          <w:b/>
          <w:sz w:val="22"/>
          <w:szCs w:val="22"/>
          <w:lang w:val="ru-RU"/>
        </w:rPr>
        <w:t>:00 до 10:50</w:t>
      </w:r>
      <w:r>
        <w:rPr>
          <w:sz w:val="22"/>
          <w:szCs w:val="22"/>
          <w:lang w:val="ru-RU"/>
        </w:rPr>
        <w:t xml:space="preserve"> часова</w:t>
      </w:r>
      <w:r>
        <w:rPr>
          <w:sz w:val="22"/>
          <w:szCs w:val="22"/>
          <w:lang w:val="sr-Cyrl-CS"/>
        </w:rPr>
        <w:t>, на истој адреси</w:t>
      </w:r>
      <w:r>
        <w:rPr>
          <w:b/>
          <w:sz w:val="22"/>
          <w:szCs w:val="22"/>
          <w:lang w:val="sr-Cyrl-CS"/>
        </w:rPr>
        <w:t>.</w:t>
      </w:r>
    </w:p>
    <w:p w14:paraId="5152916F" w14:textId="77777777" w:rsidR="0054545C" w:rsidRDefault="0054545C" w:rsidP="0054545C">
      <w:pPr>
        <w:pStyle w:val="BodyText"/>
        <w:rPr>
          <w:color w:val="auto"/>
          <w:sz w:val="22"/>
          <w:szCs w:val="22"/>
        </w:rPr>
      </w:pPr>
    </w:p>
    <w:p w14:paraId="67A2214B" w14:textId="77777777" w:rsidR="0054545C" w:rsidRDefault="0054545C" w:rsidP="0054545C">
      <w:pPr>
        <w:ind w:left="-42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51E42F82" w14:textId="77777777" w:rsidR="0054545C" w:rsidRDefault="0054545C" w:rsidP="0054545C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39FF7255" w14:textId="77777777" w:rsidR="0054545C" w:rsidRDefault="0054545C" w:rsidP="0054545C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17D1F422" w14:textId="77777777" w:rsidR="0054545C" w:rsidRDefault="0054545C" w:rsidP="0054545C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6C8F7A3D" w14:textId="77777777" w:rsidR="0054545C" w:rsidRDefault="0054545C" w:rsidP="0054545C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одржава ред на јавном надметању;</w:t>
      </w:r>
    </w:p>
    <w:p w14:paraId="575177B6" w14:textId="77777777" w:rsidR="0054545C" w:rsidRDefault="0054545C" w:rsidP="0054545C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14:paraId="6B6A5D34" w14:textId="77777777" w:rsidR="0054545C" w:rsidRDefault="0054545C" w:rsidP="0054545C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потписује записник.</w:t>
      </w:r>
    </w:p>
    <w:p w14:paraId="6A8676CB" w14:textId="77777777" w:rsidR="0054545C" w:rsidRDefault="0054545C" w:rsidP="0054545C">
      <w:pPr>
        <w:pStyle w:val="ListParagraph"/>
        <w:jc w:val="both"/>
        <w:rPr>
          <w:sz w:val="22"/>
          <w:szCs w:val="22"/>
          <w:lang w:val="sr-Cyrl-CS"/>
        </w:rPr>
      </w:pPr>
    </w:p>
    <w:p w14:paraId="438840F5" w14:textId="77777777" w:rsidR="0054545C" w:rsidRDefault="0054545C" w:rsidP="0054545C">
      <w:pPr>
        <w:pStyle w:val="ListParagraph"/>
        <w:ind w:left="-42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гаранција;</w:t>
      </w:r>
    </w:p>
    <w:p w14:paraId="5D30D078" w14:textId="77777777" w:rsidR="0054545C" w:rsidRDefault="0054545C" w:rsidP="0054545C">
      <w:pPr>
        <w:ind w:left="-426"/>
        <w:jc w:val="both"/>
        <w:rPr>
          <w:sz w:val="22"/>
          <w:szCs w:val="22"/>
          <w:lang w:val="sr-Cyrl-CS"/>
        </w:rPr>
      </w:pPr>
    </w:p>
    <w:p w14:paraId="34BA60CA" w14:textId="77777777" w:rsidR="00D853A4" w:rsidRDefault="0054545C" w:rsidP="0054545C">
      <w:pPr>
        <w:pStyle w:val="ListParagraph"/>
        <w:ind w:left="-42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Купопродајни уговор се потписује у року </w:t>
      </w:r>
      <w:r>
        <w:rPr>
          <w:b/>
          <w:bCs/>
          <w:sz w:val="22"/>
          <w:szCs w:val="22"/>
          <w:lang w:val="sr-Cyrl-CS"/>
        </w:rPr>
        <w:t>од 3 радна дана</w:t>
      </w:r>
      <w:r>
        <w:rPr>
          <w:sz w:val="22"/>
          <w:szCs w:val="22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 дана потписивања купопродајног уговора.</w:t>
      </w:r>
    </w:p>
    <w:p w14:paraId="6D1FED03" w14:textId="77777777" w:rsidR="00D853A4" w:rsidRDefault="00D853A4" w:rsidP="0054545C">
      <w:pPr>
        <w:pStyle w:val="ListParagraph"/>
        <w:ind w:left="-426"/>
        <w:jc w:val="both"/>
        <w:rPr>
          <w:sz w:val="22"/>
          <w:szCs w:val="22"/>
          <w:lang w:val="sr-Cyrl-CS"/>
        </w:rPr>
      </w:pPr>
    </w:p>
    <w:p w14:paraId="7CD47ECD" w14:textId="77777777" w:rsidR="0054545C" w:rsidRDefault="0054545C" w:rsidP="0054545C">
      <w:pPr>
        <w:pStyle w:val="ListParagraph"/>
        <w:ind w:left="-42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</w:t>
      </w:r>
      <w:r>
        <w:rPr>
          <w:b/>
          <w:bCs/>
          <w:sz w:val="22"/>
          <w:szCs w:val="22"/>
          <w:lang w:val="sr-Cyrl-CS"/>
        </w:rPr>
        <w:t>од 3 радна дана</w:t>
      </w:r>
      <w:r>
        <w:rPr>
          <w:sz w:val="22"/>
          <w:szCs w:val="22"/>
          <w:lang w:val="sr-Cyrl-CS"/>
        </w:rPr>
        <w:t xml:space="preserve"> од пријема обавештења којим се други најбољи понуђач проглашава за купца.</w:t>
      </w:r>
    </w:p>
    <w:p w14:paraId="7F118245" w14:textId="77777777" w:rsidR="0054545C" w:rsidRDefault="0054545C" w:rsidP="0054545C">
      <w:pPr>
        <w:ind w:left="-426"/>
        <w:jc w:val="both"/>
        <w:rPr>
          <w:sz w:val="22"/>
          <w:szCs w:val="22"/>
          <w:lang w:val="sr-Cyrl-CS"/>
        </w:rPr>
      </w:pPr>
    </w:p>
    <w:p w14:paraId="5DBF7E63" w14:textId="77777777" w:rsidR="0054545C" w:rsidRDefault="0054545C" w:rsidP="0054545C">
      <w:pPr>
        <w:ind w:left="-426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</w:t>
      </w:r>
      <w:proofErr w:type="spellStart"/>
      <w:r>
        <w:rPr>
          <w:sz w:val="22"/>
          <w:szCs w:val="22"/>
          <w:lang w:val="sr-Cyrl-CS"/>
        </w:rPr>
        <w:t>Уплатилац</w:t>
      </w:r>
      <w:proofErr w:type="spellEnd"/>
      <w:r>
        <w:rPr>
          <w:sz w:val="22"/>
          <w:szCs w:val="22"/>
          <w:lang w:val="sr-Cyrl-CS"/>
        </w:rPr>
        <w:t xml:space="preserve"> депозита губи право на повраћај депозита у складу са Изјавом о губитку права на повраћај депозита.</w:t>
      </w:r>
    </w:p>
    <w:p w14:paraId="16607668" w14:textId="77777777" w:rsidR="0054545C" w:rsidRDefault="0054545C" w:rsidP="0054545C">
      <w:pPr>
        <w:ind w:left="-426"/>
        <w:jc w:val="both"/>
        <w:rPr>
          <w:sz w:val="22"/>
          <w:szCs w:val="22"/>
          <w:lang w:val="sr-Cyrl-CS"/>
        </w:rPr>
      </w:pPr>
    </w:p>
    <w:p w14:paraId="0DAB307A" w14:textId="77777777" w:rsidR="0054545C" w:rsidRDefault="0054545C" w:rsidP="0054545C">
      <w:pPr>
        <w:ind w:left="-42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Порезе и трошкове који произилазе из закљученог купопродајног уговора у целости сноси купац.</w:t>
      </w:r>
    </w:p>
    <w:p w14:paraId="7B6F70BD" w14:textId="77777777" w:rsidR="00BE47FE" w:rsidRPr="00526B5A" w:rsidRDefault="0054545C" w:rsidP="00526B5A">
      <w:pPr>
        <w:autoSpaceDE w:val="0"/>
        <w:autoSpaceDN w:val="0"/>
        <w:adjustRightInd w:val="0"/>
        <w:ind w:hanging="426"/>
        <w:jc w:val="both"/>
        <w:rPr>
          <w:rFonts w:eastAsia="Calibri"/>
          <w:sz w:val="22"/>
          <w:szCs w:val="22"/>
          <w:lang w:val="sr-Cyrl-CS"/>
        </w:rPr>
      </w:pP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sr-Cyrl-CS"/>
        </w:rPr>
        <w:t>влашћено</w:t>
      </w:r>
      <w:proofErr w:type="spellEnd"/>
      <w:r>
        <w:rPr>
          <w:sz w:val="22"/>
          <w:szCs w:val="22"/>
          <w:lang w:val="sr-Cyrl-CS"/>
        </w:rPr>
        <w:t xml:space="preserve"> лице:</w:t>
      </w:r>
      <w:r>
        <w:rPr>
          <w:sz w:val="22"/>
          <w:szCs w:val="22"/>
          <w:lang w:val="ru-RU"/>
        </w:rPr>
        <w:t xml:space="preserve"> Повереник </w:t>
      </w:r>
      <w:r w:rsidR="00D853A4">
        <w:rPr>
          <w:sz w:val="22"/>
          <w:szCs w:val="22"/>
          <w:lang w:val="ru-RU"/>
        </w:rPr>
        <w:t xml:space="preserve">Драган </w:t>
      </w:r>
      <w:proofErr w:type="gramStart"/>
      <w:r w:rsidR="00D853A4">
        <w:rPr>
          <w:sz w:val="22"/>
          <w:szCs w:val="22"/>
          <w:lang w:val="ru-RU"/>
        </w:rPr>
        <w:t>Веселинови</w:t>
      </w:r>
      <w:r>
        <w:rPr>
          <w:sz w:val="22"/>
          <w:szCs w:val="22"/>
          <w:lang w:val="sr-Cyrl-RS"/>
        </w:rPr>
        <w:t>ћ ,</w:t>
      </w:r>
      <w:proofErr w:type="gramEnd"/>
      <w:r>
        <w:rPr>
          <w:sz w:val="22"/>
          <w:szCs w:val="22"/>
          <w:lang w:val="sr-Cyrl-CS"/>
        </w:rPr>
        <w:t xml:space="preserve"> контакт телефон:</w:t>
      </w:r>
      <w:r>
        <w:rPr>
          <w:sz w:val="22"/>
          <w:szCs w:val="22"/>
          <w:lang w:val="sr-Cyrl-RS"/>
        </w:rPr>
        <w:t xml:space="preserve"> </w:t>
      </w:r>
      <w:r w:rsidRPr="00D853A4">
        <w:rPr>
          <w:b/>
          <w:bCs/>
          <w:sz w:val="22"/>
          <w:szCs w:val="22"/>
          <w:lang w:val="sr-Cyrl-RS"/>
        </w:rPr>
        <w:t>06</w:t>
      </w:r>
      <w:r w:rsidR="00D853A4" w:rsidRPr="00D853A4">
        <w:rPr>
          <w:b/>
          <w:bCs/>
          <w:sz w:val="22"/>
          <w:szCs w:val="22"/>
          <w:lang w:val="sr-Cyrl-RS"/>
        </w:rPr>
        <w:t>3/7204-880</w:t>
      </w:r>
      <w:r w:rsidRPr="00D853A4">
        <w:rPr>
          <w:b/>
          <w:bCs/>
          <w:sz w:val="22"/>
          <w:szCs w:val="22"/>
          <w:lang w:val="sr-Cyrl-CS"/>
        </w:rPr>
        <w:t>.</w:t>
      </w:r>
    </w:p>
    <w:sectPr w:rsidR="00BE47FE" w:rsidRPr="00526B5A" w:rsidSect="002753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5C"/>
    <w:rsid w:val="002753F0"/>
    <w:rsid w:val="002C08F1"/>
    <w:rsid w:val="00526B5A"/>
    <w:rsid w:val="0054545C"/>
    <w:rsid w:val="00761521"/>
    <w:rsid w:val="00787CD2"/>
    <w:rsid w:val="009C3206"/>
    <w:rsid w:val="00AA2F6B"/>
    <w:rsid w:val="00B150AE"/>
    <w:rsid w:val="00BE47FE"/>
    <w:rsid w:val="00C67144"/>
    <w:rsid w:val="00C745BE"/>
    <w:rsid w:val="00D853A4"/>
    <w:rsid w:val="00DE509F"/>
    <w:rsid w:val="00E70612"/>
    <w:rsid w:val="00EB5C95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8D4"/>
  <w15:docId w15:val="{7130FFA8-6E3C-41A5-9B93-95A0826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4545C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54545C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5454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gpusic</dc:creator>
  <cp:keywords/>
  <dc:description/>
  <cp:lastModifiedBy>Igor ID. Draskic</cp:lastModifiedBy>
  <cp:revision>2</cp:revision>
  <cp:lastPrinted>2020-05-12T06:03:00Z</cp:lastPrinted>
  <dcterms:created xsi:type="dcterms:W3CDTF">2020-05-20T10:12:00Z</dcterms:created>
  <dcterms:modified xsi:type="dcterms:W3CDTF">2020-05-20T10:12:00Z</dcterms:modified>
</cp:coreProperties>
</file>